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8 </w:t>
      </w:r>
    </w:p>
    <w:p>
      <w:pPr>
        <w:jc w:val="both"/>
      </w:pPr>
      <w: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>
      <w:pPr>
        <w:jc w:val="both"/>
      </w:pPr>
    </w:p>
    <w:p>
      <w:pPr>
        <w:ind w:firstLine="708"/>
        <w:jc w:val="both"/>
      </w:pPr>
      <w:r>
        <w:rPr>
          <w:color w:val="4A4D56"/>
          <w:sz w:val="23"/>
          <w:szCs w:val="23"/>
          <w:shd w:val="clear" w:color="auto" w:fill="FEFFFF"/>
        </w:rPr>
        <w:t xml:space="preserve">Объем потерь </w:t>
      </w:r>
      <w:r>
        <w:rPr>
          <w:color w:val="5F626B"/>
          <w:sz w:val="23"/>
          <w:szCs w:val="23"/>
          <w:shd w:val="clear" w:color="auto" w:fill="FEFFFF"/>
        </w:rPr>
        <w:t>эл</w:t>
      </w:r>
      <w:r>
        <w:rPr>
          <w:color w:val="4A4D56"/>
          <w:sz w:val="23"/>
          <w:szCs w:val="23"/>
          <w:shd w:val="clear" w:color="auto" w:fill="FEFFFF"/>
        </w:rPr>
        <w:t>ектрическо</w:t>
      </w:r>
      <w:r>
        <w:rPr>
          <w:color w:val="5F626B"/>
          <w:sz w:val="23"/>
          <w:szCs w:val="23"/>
          <w:shd w:val="clear" w:color="auto" w:fill="FEFFFF"/>
        </w:rPr>
        <w:t>й эн</w:t>
      </w:r>
      <w:r>
        <w:rPr>
          <w:color w:val="4A4D56"/>
          <w:sz w:val="23"/>
          <w:szCs w:val="23"/>
          <w:shd w:val="clear" w:color="auto" w:fill="FEFFFF"/>
        </w:rPr>
        <w:t>ер</w:t>
      </w:r>
      <w:r>
        <w:rPr>
          <w:color w:val="5F626B"/>
          <w:sz w:val="23"/>
          <w:szCs w:val="23"/>
          <w:shd w:val="clear" w:color="auto" w:fill="FEFFFF"/>
        </w:rPr>
        <w:t>гии по с</w:t>
      </w:r>
      <w:r>
        <w:rPr>
          <w:color w:val="4A4D56"/>
          <w:sz w:val="23"/>
          <w:szCs w:val="23"/>
          <w:shd w:val="clear" w:color="auto" w:fill="FEFFFF"/>
        </w:rPr>
        <w:t>е</w:t>
      </w:r>
      <w:r>
        <w:rPr>
          <w:color w:val="5F626B"/>
          <w:sz w:val="23"/>
          <w:szCs w:val="23"/>
          <w:shd w:val="clear" w:color="auto" w:fill="FEFFFF"/>
        </w:rPr>
        <w:t>т</w:t>
      </w:r>
      <w:r>
        <w:rPr>
          <w:color w:val="4A4D56"/>
          <w:sz w:val="23"/>
          <w:szCs w:val="23"/>
          <w:shd w:val="clear" w:color="auto" w:fill="FEFFFF"/>
        </w:rPr>
        <w:t>я</w:t>
      </w:r>
      <w:r>
        <w:rPr>
          <w:color w:val="5F626B"/>
          <w:sz w:val="23"/>
          <w:szCs w:val="23"/>
          <w:shd w:val="clear" w:color="auto" w:fill="FEFFFF"/>
        </w:rPr>
        <w:t xml:space="preserve">м </w:t>
      </w:r>
      <w:r>
        <w:rPr>
          <w:color w:val="4A4D56"/>
          <w:sz w:val="23"/>
          <w:szCs w:val="23"/>
          <w:shd w:val="clear" w:color="auto" w:fill="FEFFFF"/>
        </w:rPr>
        <w:t>М</w:t>
      </w:r>
      <w:r>
        <w:rPr>
          <w:color w:val="5F626B"/>
          <w:sz w:val="23"/>
          <w:szCs w:val="23"/>
          <w:shd w:val="clear" w:color="auto" w:fill="FEFFFF"/>
        </w:rPr>
        <w:t>У</w:t>
      </w:r>
      <w:r>
        <w:rPr>
          <w:color w:val="4A4D56"/>
          <w:sz w:val="23"/>
          <w:szCs w:val="23"/>
          <w:shd w:val="clear" w:color="auto" w:fill="FEFFFF"/>
        </w:rPr>
        <w:t xml:space="preserve">П </w:t>
      </w:r>
      <w:r>
        <w:rPr>
          <w:color w:val="4A4D56"/>
          <w:sz w:val="23"/>
          <w:szCs w:val="23"/>
          <w:shd w:val="clear" w:color="auto" w:fill="FEFFFF"/>
        </w:rPr>
        <w:br/>
      </w:r>
      <w:r>
        <w:rPr>
          <w:color w:val="5F626B"/>
          <w:sz w:val="23"/>
          <w:szCs w:val="23"/>
          <w:shd w:val="clear" w:color="auto" w:fill="FEFFFF"/>
        </w:rPr>
        <w:t>«Эл</w:t>
      </w:r>
      <w:r>
        <w:rPr>
          <w:color w:val="4A4D56"/>
          <w:sz w:val="23"/>
          <w:szCs w:val="23"/>
          <w:shd w:val="clear" w:color="auto" w:fill="FEFFFF"/>
        </w:rPr>
        <w:t>ектросервис</w:t>
      </w:r>
      <w:r>
        <w:rPr>
          <w:color w:val="5F626B"/>
          <w:sz w:val="23"/>
          <w:szCs w:val="23"/>
          <w:shd w:val="clear" w:color="auto" w:fill="FEFFFF"/>
        </w:rPr>
        <w:t xml:space="preserve">» на 2019 год - 36022 тыс. </w:t>
      </w:r>
      <w:proofErr w:type="spellStart"/>
      <w:r>
        <w:rPr>
          <w:color w:val="5F626B"/>
          <w:sz w:val="23"/>
          <w:szCs w:val="23"/>
          <w:shd w:val="clear" w:color="auto" w:fill="FEFFFF"/>
        </w:rPr>
        <w:t>кВтч</w:t>
      </w:r>
      <w:proofErr w:type="spellEnd"/>
      <w:r>
        <w:rPr>
          <w:color w:val="5F626B"/>
          <w:sz w:val="23"/>
          <w:szCs w:val="23"/>
          <w:shd w:val="clear" w:color="auto" w:fill="FEFFFF"/>
        </w:rPr>
        <w:t>. согласно «Заключению управления экономической экспертизы тарифов на услуги по передачи электрической энергии по сетям МУП «Электросервис» городского округа «Город Южно-Сахалинск» на 2019 год</w:t>
      </w:r>
      <w:bookmarkStart w:id="0" w:name="_GoBack"/>
      <w:bookmarkEnd w:id="0"/>
      <w:r>
        <w:rPr>
          <w:color w:val="5F626B"/>
          <w:sz w:val="23"/>
          <w:szCs w:val="23"/>
          <w:shd w:val="clear" w:color="auto" w:fill="FEFFFF"/>
        </w:rPr>
        <w:t xml:space="preserve"> от 12.11.2018 года.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13</cp:revision>
  <dcterms:created xsi:type="dcterms:W3CDTF">2015-09-07T05:07:00Z</dcterms:created>
  <dcterms:modified xsi:type="dcterms:W3CDTF">2019-02-14T00:08:00Z</dcterms:modified>
</cp:coreProperties>
</file>